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5B" w:rsidRDefault="00356C5B" w:rsidP="00356C5B">
      <w:pPr>
        <w:pStyle w:val="Standard"/>
        <w:pageBreakBefore/>
        <w:spacing w:line="240" w:lineRule="exact"/>
        <w:jc w:val="center"/>
        <w:rPr>
          <w:rFonts w:ascii="Tahoma" w:hAnsi="Tahoma" w:cs="Arial"/>
          <w:b/>
          <w:color w:val="000000"/>
          <w:sz w:val="22"/>
          <w:szCs w:val="22"/>
          <w:u w:val="single"/>
        </w:rPr>
      </w:pPr>
      <w:r>
        <w:rPr>
          <w:rFonts w:ascii="Tahoma" w:hAnsi="Tahoma" w:cs="Arial"/>
          <w:b/>
          <w:color w:val="000000"/>
          <w:sz w:val="22"/>
          <w:szCs w:val="22"/>
          <w:u w:val="single"/>
        </w:rPr>
        <w:t>ANNEXE TECHNIQUE ET FINANCIERE</w:t>
      </w:r>
    </w:p>
    <w:p w:rsidR="00356C5B" w:rsidRDefault="00356C5B" w:rsidP="00356C5B">
      <w:pPr>
        <w:pStyle w:val="Standard"/>
        <w:spacing w:line="240" w:lineRule="exact"/>
        <w:jc w:val="center"/>
        <w:rPr>
          <w:rFonts w:ascii="Tahoma" w:hAnsi="Tahoma" w:cs="Arial"/>
          <w:b/>
          <w:color w:val="000000"/>
          <w:sz w:val="22"/>
          <w:szCs w:val="22"/>
          <w:u w:val="single"/>
        </w:rPr>
      </w:pPr>
    </w:p>
    <w:p w:rsidR="00356C5B" w:rsidRDefault="00356C5B" w:rsidP="00356C5B">
      <w:pPr>
        <w:pStyle w:val="Standard"/>
        <w:spacing w:line="240" w:lineRule="exact"/>
        <w:jc w:val="center"/>
        <w:rPr>
          <w:rFonts w:ascii="Tahoma" w:hAnsi="Tahoma" w:cs="Arial"/>
          <w:color w:val="000000"/>
          <w:sz w:val="16"/>
          <w:szCs w:val="22"/>
        </w:rPr>
      </w:pPr>
    </w:p>
    <w:p w:rsidR="00356C5B" w:rsidRDefault="00356C5B" w:rsidP="00356C5B">
      <w:pPr>
        <w:pStyle w:val="Standard"/>
        <w:jc w:val="both"/>
        <w:rPr>
          <w:rFonts w:ascii="Tahoma" w:hAnsi="Tahoma"/>
          <w:color w:val="000000"/>
        </w:rPr>
      </w:pPr>
    </w:p>
    <w:p w:rsidR="00356C5B" w:rsidRDefault="00356C5B" w:rsidP="00356C5B">
      <w:pPr>
        <w:pStyle w:val="Standard"/>
        <w:jc w:val="both"/>
      </w:pPr>
      <w:r>
        <w:rPr>
          <w:rFonts w:ascii="Tahoma" w:hAnsi="Tahoma" w:cs="Arial"/>
          <w:b/>
          <w:bCs/>
          <w:color w:val="000000"/>
          <w:sz w:val="22"/>
          <w:szCs w:val="22"/>
        </w:rPr>
        <w:t>Nature et descriptif détaillés des objectifs de l'action collective</w:t>
      </w:r>
      <w:r>
        <w:rPr>
          <w:rFonts w:ascii="Tahoma" w:hAnsi="Tahoma" w:cs="Arial"/>
          <w:color w:val="000000"/>
          <w:sz w:val="22"/>
          <w:szCs w:val="22"/>
        </w:rPr>
        <w:t> (contexte, périmètre géographique, objectifs, type d’action, thèmes, nombre de bénéficiaires prévus, nombre de jours...) :</w:t>
      </w:r>
    </w:p>
    <w:p w:rsidR="00356C5B" w:rsidRDefault="00356C5B" w:rsidP="00356C5B">
      <w:pPr>
        <w:pStyle w:val="normalformulair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….</w:t>
      </w:r>
    </w:p>
    <w:p w:rsidR="00356C5B" w:rsidRDefault="00356C5B" w:rsidP="00356C5B">
      <w:pPr>
        <w:pStyle w:val="normalformulaire"/>
        <w:rPr>
          <w:rFonts w:cs="Arial"/>
          <w:color w:val="000000"/>
          <w:sz w:val="22"/>
          <w:szCs w:val="22"/>
          <w:u w:val="single"/>
        </w:rPr>
      </w:pPr>
    </w:p>
    <w:p w:rsidR="00356C5B" w:rsidRDefault="00356C5B" w:rsidP="00356C5B">
      <w:pPr>
        <w:pStyle w:val="normalformulaire"/>
        <w:rPr>
          <w:rFonts w:cs="Arial"/>
          <w:color w:val="000000"/>
          <w:sz w:val="22"/>
          <w:szCs w:val="22"/>
          <w:u w:val="single"/>
        </w:rPr>
      </w:pPr>
    </w:p>
    <w:p w:rsidR="00356C5B" w:rsidRDefault="00356C5B" w:rsidP="00356C5B">
      <w:pPr>
        <w:pStyle w:val="Standard"/>
        <w:jc w:val="both"/>
      </w:pPr>
      <w:r>
        <w:rPr>
          <w:rFonts w:ascii="Tahoma" w:hAnsi="Tahoma" w:cs="Arial"/>
          <w:b/>
          <w:bCs/>
          <w:color w:val="000000"/>
          <w:sz w:val="22"/>
          <w:szCs w:val="22"/>
        </w:rPr>
        <w:t xml:space="preserve">Descriptif détaillé des </w:t>
      </w:r>
      <w:proofErr w:type="spellStart"/>
      <w:r>
        <w:rPr>
          <w:rFonts w:ascii="Tahoma" w:hAnsi="Tahoma" w:cs="Arial"/>
          <w:b/>
          <w:bCs/>
          <w:color w:val="000000"/>
          <w:sz w:val="22"/>
          <w:szCs w:val="22"/>
        </w:rPr>
        <w:t>sous-actions</w:t>
      </w:r>
      <w:proofErr w:type="spellEnd"/>
      <w:r>
        <w:rPr>
          <w:rFonts w:ascii="Tahoma" w:hAnsi="Tahoma" w:cs="Arial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Arial"/>
          <w:color w:val="000000"/>
          <w:sz w:val="22"/>
          <w:szCs w:val="22"/>
        </w:rPr>
        <w:t>: contenu, livrables attendus, indicateurs</w:t>
      </w:r>
    </w:p>
    <w:p w:rsidR="00356C5B" w:rsidRDefault="00356C5B" w:rsidP="00356C5B">
      <w:pPr>
        <w:pStyle w:val="normalformulair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65F7B" w:rsidRDefault="00356C5B" w:rsidP="00356C5B">
      <w:pPr>
        <w:pStyle w:val="normalformulaire"/>
      </w:pPr>
      <w:r>
        <w:rPr>
          <w:rFonts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….</w:t>
      </w:r>
    </w:p>
    <w:sectPr w:rsidR="00A65F7B">
      <w:headerReference w:type="even" r:id="rId4"/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1A" w:rsidRDefault="00356C5B">
    <w:pPr>
      <w:pStyle w:val="Pieddepage"/>
    </w:pPr>
  </w:p>
  <w:p w:rsidR="004B511A" w:rsidRDefault="00356C5B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1A" w:rsidRDefault="00356C5B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1A" w:rsidRDefault="00356C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B"/>
    <w:rsid w:val="00356C5B"/>
    <w:rsid w:val="00A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51CA7-06E1-4DF8-A345-1BD61B01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6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56C5B"/>
    <w:pPr>
      <w:suppressAutoHyphens/>
      <w:autoSpaceDN w:val="0"/>
      <w:spacing w:after="0" w:line="240" w:lineRule="auto"/>
      <w:textAlignment w:val="baseline"/>
    </w:pPr>
    <w:rPr>
      <w:rFonts w:ascii="CG Times (W1)" w:eastAsia="Times New Roman" w:hAnsi="CG Times (W1)" w:cs="CG Times (W1)"/>
      <w:kern w:val="3"/>
      <w:sz w:val="20"/>
      <w:szCs w:val="20"/>
      <w:lang w:eastAsia="zh-CN"/>
    </w:rPr>
  </w:style>
  <w:style w:type="paragraph" w:styleId="Pieddepage">
    <w:name w:val="footer"/>
    <w:basedOn w:val="Standard"/>
    <w:link w:val="PieddepageCar"/>
    <w:rsid w:val="00356C5B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356C5B"/>
    <w:rPr>
      <w:rFonts w:ascii="CG Times (W1)" w:eastAsia="Times New Roman" w:hAnsi="CG Times (W1)" w:cs="CG Times (W1)"/>
      <w:kern w:val="3"/>
      <w:sz w:val="20"/>
      <w:szCs w:val="20"/>
      <w:lang w:eastAsia="zh-CN"/>
    </w:rPr>
  </w:style>
  <w:style w:type="paragraph" w:styleId="En-tte">
    <w:name w:val="header"/>
    <w:basedOn w:val="Standard"/>
    <w:link w:val="En-tteCar"/>
    <w:rsid w:val="00356C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56C5B"/>
    <w:rPr>
      <w:rFonts w:ascii="CG Times (W1)" w:eastAsia="Times New Roman" w:hAnsi="CG Times (W1)" w:cs="CG Times (W1)"/>
      <w:kern w:val="3"/>
      <w:sz w:val="20"/>
      <w:szCs w:val="20"/>
      <w:lang w:eastAsia="zh-CN"/>
    </w:rPr>
  </w:style>
  <w:style w:type="paragraph" w:customStyle="1" w:styleId="normalformulaire">
    <w:name w:val="normal formulaire"/>
    <w:basedOn w:val="Standard"/>
    <w:rsid w:val="00356C5B"/>
    <w:pPr>
      <w:jc w:val="both"/>
    </w:pPr>
    <w:rPr>
      <w:rFonts w:ascii="Tahoma" w:eastAsia="Tahoma" w:hAnsi="Tahoma" w:cs="Times New Roman"/>
      <w:sz w:val="16"/>
      <w:szCs w:val="24"/>
    </w:rPr>
  </w:style>
  <w:style w:type="paragraph" w:customStyle="1" w:styleId="Headerleft">
    <w:name w:val="Header left"/>
    <w:basedOn w:val="Standard"/>
    <w:rsid w:val="00356C5B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LEMOINE</dc:creator>
  <cp:keywords/>
  <dc:description/>
  <cp:lastModifiedBy>Nina LEMOINE</cp:lastModifiedBy>
  <cp:revision>1</cp:revision>
  <dcterms:created xsi:type="dcterms:W3CDTF">2024-05-02T16:17:00Z</dcterms:created>
  <dcterms:modified xsi:type="dcterms:W3CDTF">2024-05-02T16:21:00Z</dcterms:modified>
</cp:coreProperties>
</file>